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C6" w:rsidRPr="008B54C6" w:rsidRDefault="008B54C6" w:rsidP="008B54C6">
      <w:pPr>
        <w:spacing w:after="0" w:line="276" w:lineRule="auto"/>
        <w:jc w:val="center"/>
        <w:rPr>
          <w:rFonts w:ascii="Times New Roman" w:eastAsia="Calibri" w:hAnsi="Times New Roman" w:cs="Times New Roman"/>
          <w:b/>
          <w:sz w:val="24"/>
          <w:lang w:val="en-US"/>
        </w:rPr>
      </w:pPr>
      <w:r w:rsidRPr="008B54C6">
        <w:rPr>
          <w:rFonts w:ascii="Times New Roman" w:eastAsia="Calibri" w:hAnsi="Times New Roman" w:cs="Times New Roman"/>
          <w:b/>
          <w:sz w:val="24"/>
          <w:lang w:val="en-US"/>
        </w:rPr>
        <w:t>MARIJAMPOLĖS VAIKŲ LOPŽELIS-DARŽELIS „RŪTA”</w:t>
      </w:r>
    </w:p>
    <w:p w:rsidR="008B54C6" w:rsidRPr="008B54C6" w:rsidRDefault="008B54C6" w:rsidP="008B54C6">
      <w:pPr>
        <w:spacing w:after="200" w:line="276" w:lineRule="auto"/>
        <w:ind w:left="5760"/>
        <w:rPr>
          <w:rFonts w:ascii="Times New Roman" w:eastAsia="Calibri" w:hAnsi="Times New Roman" w:cs="Times New Roman"/>
          <w:sz w:val="24"/>
          <w:lang w:val="en-US"/>
        </w:rPr>
      </w:pPr>
      <w:r w:rsidRPr="008B54C6">
        <w:rPr>
          <w:rFonts w:ascii="Times New Roman" w:eastAsia="Calibri" w:hAnsi="Times New Roman" w:cs="Times New Roman"/>
          <w:sz w:val="24"/>
          <w:lang w:val="en-US"/>
        </w:rPr>
        <w:t xml:space="preserve">                                                                   </w:t>
      </w:r>
    </w:p>
    <w:p w:rsidR="008B54C6" w:rsidRPr="008B54C6" w:rsidRDefault="008B54C6" w:rsidP="008B54C6">
      <w:pPr>
        <w:autoSpaceDE w:val="0"/>
        <w:autoSpaceDN w:val="0"/>
        <w:adjustRightInd w:val="0"/>
        <w:spacing w:after="0" w:line="240" w:lineRule="auto"/>
        <w:ind w:left="4820"/>
        <w:rPr>
          <w:rFonts w:ascii="Times New Roman" w:eastAsia="Times New Roman" w:hAnsi="Times New Roman" w:cs="Times New Roman"/>
          <w:bCs/>
          <w:sz w:val="24"/>
          <w:szCs w:val="24"/>
          <w:lang w:eastAsia="lt-LT"/>
        </w:rPr>
      </w:pPr>
      <w:r w:rsidRPr="008B54C6">
        <w:rPr>
          <w:rFonts w:ascii="Times New Roman" w:eastAsia="Times New Roman" w:hAnsi="Times New Roman" w:cs="Times New Roman"/>
          <w:bCs/>
          <w:sz w:val="24"/>
          <w:szCs w:val="24"/>
          <w:lang w:eastAsia="lt-LT"/>
        </w:rPr>
        <w:t>PATVIRTINTA</w:t>
      </w:r>
    </w:p>
    <w:p w:rsidR="008B54C6" w:rsidRPr="008B54C6" w:rsidRDefault="008B54C6" w:rsidP="008B54C6">
      <w:pPr>
        <w:autoSpaceDE w:val="0"/>
        <w:autoSpaceDN w:val="0"/>
        <w:adjustRightInd w:val="0"/>
        <w:spacing w:after="0" w:line="240" w:lineRule="auto"/>
        <w:ind w:left="4820"/>
        <w:rPr>
          <w:rFonts w:ascii="Times New Roman" w:eastAsia="Times New Roman" w:hAnsi="Times New Roman" w:cs="Times New Roman"/>
          <w:sz w:val="24"/>
          <w:szCs w:val="24"/>
          <w:lang w:eastAsia="lt-LT"/>
        </w:rPr>
      </w:pPr>
      <w:r w:rsidRPr="008B54C6">
        <w:rPr>
          <w:rFonts w:ascii="Times New Roman" w:eastAsia="Times New Roman" w:hAnsi="Times New Roman" w:cs="Times New Roman"/>
          <w:sz w:val="24"/>
          <w:szCs w:val="24"/>
          <w:lang w:eastAsia="lt-LT"/>
        </w:rPr>
        <w:t>Marijampolės vaikų lopšelio-darželio „Rūta“</w:t>
      </w:r>
    </w:p>
    <w:p w:rsidR="008B54C6" w:rsidRPr="008B54C6" w:rsidRDefault="008B54C6" w:rsidP="008B54C6">
      <w:pPr>
        <w:autoSpaceDE w:val="0"/>
        <w:autoSpaceDN w:val="0"/>
        <w:adjustRightInd w:val="0"/>
        <w:spacing w:after="0" w:line="240" w:lineRule="auto"/>
        <w:ind w:left="4820"/>
        <w:rPr>
          <w:rFonts w:ascii="Times New Roman" w:eastAsia="Times New Roman" w:hAnsi="Times New Roman" w:cs="Times New Roman"/>
          <w:sz w:val="24"/>
          <w:szCs w:val="24"/>
          <w:lang w:eastAsia="lt-LT"/>
        </w:rPr>
      </w:pPr>
      <w:r w:rsidRPr="008B54C6">
        <w:rPr>
          <w:rFonts w:ascii="Times New Roman" w:eastAsia="Times New Roman" w:hAnsi="Times New Roman" w:cs="Times New Roman"/>
          <w:sz w:val="24"/>
          <w:szCs w:val="24"/>
          <w:lang w:eastAsia="lt-LT"/>
        </w:rPr>
        <w:t xml:space="preserve">direktoriaus 2021-09-20 įsakymu </w:t>
      </w:r>
      <w:proofErr w:type="spellStart"/>
      <w:r w:rsidRPr="008B54C6">
        <w:rPr>
          <w:rFonts w:ascii="Times New Roman" w:eastAsia="Times New Roman" w:hAnsi="Times New Roman" w:cs="Times New Roman"/>
          <w:sz w:val="24"/>
          <w:szCs w:val="24"/>
          <w:lang w:eastAsia="lt-LT"/>
        </w:rPr>
        <w:t>Nr.V-114(1.5E)</w:t>
      </w:r>
      <w:proofErr w:type="spellEnd"/>
    </w:p>
    <w:p w:rsidR="00305543" w:rsidRPr="0009433E" w:rsidRDefault="00305543" w:rsidP="0009433E">
      <w:pPr>
        <w:spacing w:after="0" w:line="240" w:lineRule="auto"/>
        <w:ind w:left="5760"/>
        <w:rPr>
          <w:rFonts w:ascii="Times New Roman" w:eastAsia="Times New Roman" w:hAnsi="Times New Roman" w:cs="Times New Roman"/>
        </w:rPr>
      </w:pPr>
      <w:bookmarkStart w:id="0" w:name="_GoBack"/>
      <w:bookmarkEnd w:id="0"/>
    </w:p>
    <w:p w:rsidR="0009433E" w:rsidRPr="0081636F" w:rsidRDefault="0009433E" w:rsidP="0081636F">
      <w:pPr>
        <w:pStyle w:val="Betarp"/>
        <w:jc w:val="center"/>
        <w:rPr>
          <w:rFonts w:ascii="Times New Roman" w:hAnsi="Times New Roman" w:cs="Times New Roman"/>
          <w:b/>
          <w:sz w:val="24"/>
          <w:szCs w:val="24"/>
        </w:rPr>
      </w:pPr>
      <w:r w:rsidRPr="0081636F">
        <w:rPr>
          <w:rFonts w:ascii="Times New Roman" w:hAnsi="Times New Roman" w:cs="Times New Roman"/>
          <w:b/>
          <w:sz w:val="24"/>
          <w:szCs w:val="24"/>
        </w:rPr>
        <w:t>MOKYTOJŲ IR PAGALBOS MOKINIUI SPECIALISTŲ</w:t>
      </w:r>
    </w:p>
    <w:p w:rsidR="00305543" w:rsidRDefault="0009433E" w:rsidP="0081636F">
      <w:pPr>
        <w:pStyle w:val="Betarp"/>
        <w:jc w:val="center"/>
        <w:rPr>
          <w:rFonts w:ascii="Times New Roman" w:hAnsi="Times New Roman" w:cs="Times New Roman"/>
          <w:b/>
          <w:sz w:val="24"/>
          <w:szCs w:val="24"/>
        </w:rPr>
      </w:pPr>
      <w:r w:rsidRPr="0081636F">
        <w:rPr>
          <w:rFonts w:ascii="Times New Roman" w:hAnsi="Times New Roman" w:cs="Times New Roman"/>
          <w:b/>
          <w:sz w:val="24"/>
          <w:szCs w:val="24"/>
        </w:rPr>
        <w:t>KVALIFIKACIJOS TOBULINIMO TVARKOS APRAŠAS</w:t>
      </w:r>
    </w:p>
    <w:p w:rsidR="0081636F" w:rsidRPr="0081636F" w:rsidRDefault="0081636F" w:rsidP="0081636F">
      <w:pPr>
        <w:pStyle w:val="Betarp"/>
        <w:jc w:val="center"/>
        <w:rPr>
          <w:rFonts w:ascii="Times New Roman" w:hAnsi="Times New Roman" w:cs="Times New Roman"/>
          <w:b/>
          <w:sz w:val="24"/>
          <w:szCs w:val="24"/>
        </w:rPr>
      </w:pPr>
    </w:p>
    <w:p w:rsidR="0009433E" w:rsidRDefault="0009433E" w:rsidP="0081636F">
      <w:pPr>
        <w:ind w:firstLine="851"/>
        <w:jc w:val="both"/>
        <w:rPr>
          <w:rFonts w:ascii="Times New Roman" w:hAnsi="Times New Roman" w:cs="Times New Roman"/>
          <w:sz w:val="24"/>
          <w:szCs w:val="24"/>
        </w:rPr>
      </w:pPr>
      <w:r>
        <w:rPr>
          <w:rFonts w:ascii="Times New Roman" w:hAnsi="Times New Roman" w:cs="Times New Roman"/>
          <w:sz w:val="24"/>
          <w:szCs w:val="24"/>
        </w:rPr>
        <w:t xml:space="preserve">1. Marijampolės </w:t>
      </w:r>
      <w:r w:rsidR="0081636F">
        <w:rPr>
          <w:rFonts w:ascii="Times New Roman" w:hAnsi="Times New Roman" w:cs="Times New Roman"/>
          <w:sz w:val="24"/>
          <w:szCs w:val="24"/>
        </w:rPr>
        <w:t xml:space="preserve">vaikų </w:t>
      </w:r>
      <w:r>
        <w:rPr>
          <w:rFonts w:ascii="Times New Roman" w:hAnsi="Times New Roman" w:cs="Times New Roman"/>
          <w:sz w:val="24"/>
          <w:szCs w:val="24"/>
        </w:rPr>
        <w:t>lopšelio-darželio „Rūta</w:t>
      </w:r>
      <w:r w:rsidRPr="0009433E">
        <w:rPr>
          <w:rFonts w:ascii="Times New Roman" w:hAnsi="Times New Roman" w:cs="Times New Roman"/>
          <w:sz w:val="24"/>
          <w:szCs w:val="24"/>
        </w:rPr>
        <w:t>“ mokytojų ir pagalbos mokiniui specialistų kvalifikacijos tobulinimo tvarkos (toliau – aprašas</w:t>
      </w:r>
      <w:r>
        <w:rPr>
          <w:rFonts w:ascii="Times New Roman" w:hAnsi="Times New Roman" w:cs="Times New Roman"/>
          <w:sz w:val="24"/>
          <w:szCs w:val="24"/>
        </w:rPr>
        <w:t xml:space="preserve">) reglamentuoja Marijampolės lopšelio-darželio „Rūta </w:t>
      </w:r>
      <w:r w:rsidRPr="0009433E">
        <w:rPr>
          <w:rFonts w:ascii="Times New Roman" w:hAnsi="Times New Roman" w:cs="Times New Roman"/>
          <w:sz w:val="24"/>
          <w:szCs w:val="24"/>
        </w:rPr>
        <w:t>“ (toliau – lopšelis-darželis) direktoriaus, direktoriaus pavaduotojo ugdym</w:t>
      </w:r>
      <w:r>
        <w:rPr>
          <w:rFonts w:ascii="Times New Roman" w:hAnsi="Times New Roman" w:cs="Times New Roman"/>
          <w:sz w:val="24"/>
          <w:szCs w:val="24"/>
        </w:rPr>
        <w:t>ui, ikimokyklinio ugdymo mokyto</w:t>
      </w:r>
      <w:r w:rsidRPr="0009433E">
        <w:rPr>
          <w:rFonts w:ascii="Times New Roman" w:hAnsi="Times New Roman" w:cs="Times New Roman"/>
          <w:sz w:val="24"/>
          <w:szCs w:val="24"/>
        </w:rPr>
        <w:t>jų</w:t>
      </w:r>
      <w:r>
        <w:rPr>
          <w:rFonts w:ascii="Times New Roman" w:hAnsi="Times New Roman" w:cs="Times New Roman"/>
          <w:sz w:val="24"/>
          <w:szCs w:val="24"/>
        </w:rPr>
        <w:t>, priešmokyklinio ugdymo mokytoj</w:t>
      </w:r>
      <w:r w:rsidRPr="0009433E">
        <w:rPr>
          <w:rFonts w:ascii="Times New Roman" w:hAnsi="Times New Roman" w:cs="Times New Roman"/>
          <w:sz w:val="24"/>
          <w:szCs w:val="24"/>
        </w:rPr>
        <w:t>ų, l</w:t>
      </w:r>
      <w:r>
        <w:rPr>
          <w:rFonts w:ascii="Times New Roman" w:hAnsi="Times New Roman" w:cs="Times New Roman"/>
          <w:sz w:val="24"/>
          <w:szCs w:val="24"/>
        </w:rPr>
        <w:t>ogopedų, meninio ugdymo, papildomo ugdymo mokytojų,</w:t>
      </w:r>
      <w:r w:rsidR="00004592">
        <w:rPr>
          <w:rFonts w:ascii="Times New Roman" w:hAnsi="Times New Roman" w:cs="Times New Roman"/>
          <w:sz w:val="24"/>
          <w:szCs w:val="24"/>
        </w:rPr>
        <w:t xml:space="preserve"> socialinio pedagogo</w:t>
      </w:r>
      <w:r w:rsidRPr="0009433E">
        <w:rPr>
          <w:rFonts w:ascii="Times New Roman" w:hAnsi="Times New Roman" w:cs="Times New Roman"/>
          <w:sz w:val="24"/>
          <w:szCs w:val="24"/>
        </w:rPr>
        <w:t xml:space="preserve"> (toliau – mokytojai) kvalifikacijos tobulinimo tvarką.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2. Aprašas parengtas vadovaujantis Lietuvos Respublikos Vyriausybės nutarimais, Švietimo ir mokslo ministerijos teisės aktais, Pedagogų atestacijos nuostatais, įstaigos nuostatais.    </w:t>
      </w:r>
    </w:p>
    <w:p w:rsidR="0009433E" w:rsidRPr="0009433E" w:rsidRDefault="0009433E" w:rsidP="0081636F">
      <w:pPr>
        <w:jc w:val="center"/>
        <w:rPr>
          <w:rFonts w:ascii="Times New Roman" w:hAnsi="Times New Roman" w:cs="Times New Roman"/>
          <w:b/>
          <w:sz w:val="24"/>
          <w:szCs w:val="24"/>
        </w:rPr>
      </w:pPr>
      <w:r w:rsidRPr="0009433E">
        <w:rPr>
          <w:rFonts w:ascii="Times New Roman" w:hAnsi="Times New Roman" w:cs="Times New Roman"/>
          <w:b/>
          <w:sz w:val="24"/>
          <w:szCs w:val="24"/>
        </w:rPr>
        <w:t>II. KVALIFIKACIJOS TOBULINIMO TIKSLAI IR PRINCIPAI</w:t>
      </w:r>
    </w:p>
    <w:p w:rsidR="0009433E" w:rsidRPr="0009433E" w:rsidRDefault="0009433E" w:rsidP="0081636F">
      <w:pPr>
        <w:ind w:firstLine="851"/>
        <w:jc w:val="both"/>
        <w:rPr>
          <w:rFonts w:ascii="Times New Roman" w:hAnsi="Times New Roman" w:cs="Times New Roman"/>
          <w:b/>
          <w:sz w:val="24"/>
          <w:szCs w:val="24"/>
        </w:rPr>
      </w:pPr>
      <w:r w:rsidRPr="0009433E">
        <w:rPr>
          <w:rFonts w:ascii="Times New Roman" w:hAnsi="Times New Roman" w:cs="Times New Roman"/>
          <w:b/>
          <w:sz w:val="24"/>
          <w:szCs w:val="24"/>
        </w:rPr>
        <w:t xml:space="preserve">3. Kvalifikacijos tobulinimo tikslai: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3.1. Skatinti mokytojų kūrybiškumą, dalyko ir metodinės veiklos tobulinimą, profesinės kompetencijos augimą.</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 3.2. Siekti didesnės mokytojų atsakomybės už profesinės veiklos rezultatus. </w:t>
      </w:r>
    </w:p>
    <w:p w:rsidR="00004592" w:rsidRDefault="0009433E" w:rsidP="0081636F">
      <w:pPr>
        <w:tabs>
          <w:tab w:val="left" w:pos="1276"/>
        </w:tabs>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3.3. Sudaryti sąlygas lopšelio-darželio mokytojams įgyvendinti kvalifikacijos reikalavimus, apibrėžtus Mokytojų ir pagalbos mokiniui specialistų (išskyrus psichologus) atestacijos nuostatuose.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b/>
          <w:sz w:val="24"/>
          <w:szCs w:val="24"/>
        </w:rPr>
        <w:t>4. Kvalifikacijos kėlimo principai:</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 4.1. Lygių galimybių principas – kiekvienam asmeniui sudaromos sąlygos tobulinti savo kvalifikaciją.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 4.2. Tęstinumo ‒  mokytojų kvalifikacijos tobulinimo sistema lanksti, atvira, pagrįsta įvairių formų sąveika; ji sudaro sąlygas kiekvienam asmeniui mokytis visą gyvenimą.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4.3. Sistemiškumo ‒  kvalifikacij</w:t>
      </w:r>
      <w:r w:rsidR="00004592">
        <w:rPr>
          <w:rFonts w:ascii="Times New Roman" w:hAnsi="Times New Roman" w:cs="Times New Roman"/>
          <w:sz w:val="24"/>
          <w:szCs w:val="24"/>
        </w:rPr>
        <w:t>os kėlimas yra</w:t>
      </w:r>
      <w:r w:rsidRPr="0009433E">
        <w:rPr>
          <w:rFonts w:ascii="Times New Roman" w:hAnsi="Times New Roman" w:cs="Times New Roman"/>
          <w:sz w:val="24"/>
          <w:szCs w:val="24"/>
        </w:rPr>
        <w:t xml:space="preserve"> sistemingas procesas ir permainas numatoma vykdyti ilgesnį laikotarpį. </w:t>
      </w:r>
    </w:p>
    <w:p w:rsidR="0009433E" w:rsidRP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4.4. Laisvo apsisprendimo – akcentuojama kiekvieno mokytojo laisvė rinktis jam reikalingas kvalifikacijos tobulinimo paslaugas derinant jas su lopšelio-darželio strateginio plano, metinės veiklos programos tikslais ir uždaviniais.  </w:t>
      </w:r>
    </w:p>
    <w:p w:rsidR="0009433E" w:rsidRPr="0009433E" w:rsidRDefault="0009433E" w:rsidP="0081636F">
      <w:pPr>
        <w:jc w:val="center"/>
        <w:rPr>
          <w:rFonts w:ascii="Times New Roman" w:hAnsi="Times New Roman" w:cs="Times New Roman"/>
          <w:b/>
          <w:sz w:val="24"/>
          <w:szCs w:val="24"/>
        </w:rPr>
      </w:pPr>
      <w:r w:rsidRPr="0009433E">
        <w:rPr>
          <w:rFonts w:ascii="Times New Roman" w:hAnsi="Times New Roman" w:cs="Times New Roman"/>
          <w:b/>
          <w:sz w:val="24"/>
          <w:szCs w:val="24"/>
        </w:rPr>
        <w:t>III. KVALIFIKACIJOS TOBULINIMO ORGANIZAVIMAS</w:t>
      </w:r>
    </w:p>
    <w:p w:rsidR="00305543"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5. Kvalifikacija tobulinama pagal Švietimo ir mokslo ministerijos ir kitų Švietimo ir mokslo ministerijai pavaldžių institucijų (švietimo centrų, tęstinių studijų institutų ir kt.) kvalifikacijos tobulinimo programas, jeigu šios institucijos turi teisę jas vykdyti. </w:t>
      </w:r>
    </w:p>
    <w:p w:rsidR="0009433E" w:rsidRPr="00004592" w:rsidRDefault="0009433E" w:rsidP="0081636F">
      <w:pPr>
        <w:ind w:firstLine="851"/>
        <w:jc w:val="both"/>
        <w:rPr>
          <w:rFonts w:ascii="Times New Roman" w:hAnsi="Times New Roman" w:cs="Times New Roman"/>
          <w:b/>
          <w:sz w:val="24"/>
          <w:szCs w:val="24"/>
        </w:rPr>
      </w:pPr>
      <w:r w:rsidRPr="00004592">
        <w:rPr>
          <w:rFonts w:ascii="Times New Roman" w:hAnsi="Times New Roman" w:cs="Times New Roman"/>
          <w:b/>
          <w:sz w:val="24"/>
          <w:szCs w:val="24"/>
        </w:rPr>
        <w:t xml:space="preserve">6. Lopšelio-darželio direktorius: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lastRenderedPageBreak/>
        <w:t>6.1. teisės aktų nustatyta tvarka sudaro sąlygas moky</w:t>
      </w:r>
      <w:r>
        <w:rPr>
          <w:rFonts w:ascii="Times New Roman" w:hAnsi="Times New Roman" w:cs="Times New Roman"/>
          <w:sz w:val="24"/>
          <w:szCs w:val="24"/>
        </w:rPr>
        <w:t>tojams tobulinti kvalifikaciją;</w:t>
      </w:r>
    </w:p>
    <w:p w:rsidR="0081636F"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6.2. užtikr</w:t>
      </w:r>
      <w:r w:rsidR="00004592">
        <w:rPr>
          <w:rFonts w:ascii="Times New Roman" w:hAnsi="Times New Roman" w:cs="Times New Roman"/>
          <w:sz w:val="24"/>
          <w:szCs w:val="24"/>
        </w:rPr>
        <w:t xml:space="preserve">ina ugdytinio </w:t>
      </w:r>
      <w:r w:rsidRPr="0009433E">
        <w:rPr>
          <w:rFonts w:ascii="Times New Roman" w:hAnsi="Times New Roman" w:cs="Times New Roman"/>
          <w:sz w:val="24"/>
          <w:szCs w:val="24"/>
        </w:rPr>
        <w:t xml:space="preserve">krepšelio ir kitų lėšų, skirtų kvalifikacijai tobulinti, racionalų panaudojimą;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6.3. tvirtina mokytojų kvalifikacijos tobulinimo tvarkos aprašą ir mokytojų kvalifikacijos tobulinimo programą;</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6.4. bendradarbiauja su kvalifikacijos tobulinimo institucijomis. </w:t>
      </w:r>
    </w:p>
    <w:p w:rsidR="0009433E" w:rsidRPr="00004592" w:rsidRDefault="0009433E" w:rsidP="0081636F">
      <w:pPr>
        <w:ind w:firstLine="851"/>
        <w:jc w:val="both"/>
        <w:rPr>
          <w:rFonts w:ascii="Times New Roman" w:hAnsi="Times New Roman" w:cs="Times New Roman"/>
          <w:b/>
          <w:sz w:val="24"/>
          <w:szCs w:val="24"/>
        </w:rPr>
      </w:pPr>
      <w:r w:rsidRPr="00004592">
        <w:rPr>
          <w:rFonts w:ascii="Times New Roman" w:hAnsi="Times New Roman" w:cs="Times New Roman"/>
          <w:b/>
          <w:sz w:val="24"/>
          <w:szCs w:val="24"/>
        </w:rPr>
        <w:t xml:space="preserve">7. Direktoriaus pavaduotojas ugdymui: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7.1. organizuoja lopšelio-darželio mokytojų kvalifikacijos kėlimą, rengia kvalifikacijos tobulinimo programą, analizuoja jos įgyvendinimą;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7.2. konsultuoja ir teikia informaciją apie kvalifikacijos tobulinimo renginius;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7.3. mokytojų taryboje arba metodinėje taryboje analizuoja, kaip mokytojai kvalifikacijos tobulinimo metu įgytą kompetenciją pritaiko savo praktinei veiklai ir ugdymo kokybei gerinti; </w:t>
      </w:r>
    </w:p>
    <w:p w:rsidR="0009433E" w:rsidRDefault="0009433E" w:rsidP="0081636F">
      <w:pPr>
        <w:ind w:firstLine="851"/>
        <w:jc w:val="both"/>
        <w:rPr>
          <w:rFonts w:ascii="Times New Roman" w:hAnsi="Times New Roman" w:cs="Times New Roman"/>
          <w:sz w:val="24"/>
          <w:szCs w:val="24"/>
        </w:rPr>
      </w:pPr>
      <w:r>
        <w:rPr>
          <w:rFonts w:ascii="Times New Roman" w:hAnsi="Times New Roman" w:cs="Times New Roman"/>
          <w:sz w:val="24"/>
          <w:szCs w:val="24"/>
        </w:rPr>
        <w:t xml:space="preserve"> 7.4. teikia Marijampolės</w:t>
      </w:r>
      <w:r w:rsidRPr="0009433E">
        <w:rPr>
          <w:rFonts w:ascii="Times New Roman" w:hAnsi="Times New Roman" w:cs="Times New Roman"/>
          <w:sz w:val="24"/>
          <w:szCs w:val="24"/>
        </w:rPr>
        <w:t xml:space="preserve"> savivaldybės administracijos Švietimo skyriui ataskaitas apie mokytojų dalyvavimą kvalifikacijos tobulinimo renginiuose;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7.5. tvarko dalyvavimo kvalifikacijos tobulinimo renginiuose apskaitą, rengia metinę ataskaitą, jos analizę ir išvadas pristato mokytojų tarybos posėdyje. </w:t>
      </w:r>
    </w:p>
    <w:p w:rsidR="00004592" w:rsidRPr="00004592" w:rsidRDefault="0009433E" w:rsidP="0081636F">
      <w:pPr>
        <w:ind w:firstLine="851"/>
        <w:jc w:val="both"/>
        <w:rPr>
          <w:rFonts w:ascii="Times New Roman" w:hAnsi="Times New Roman" w:cs="Times New Roman"/>
          <w:b/>
          <w:sz w:val="24"/>
          <w:szCs w:val="24"/>
        </w:rPr>
      </w:pPr>
      <w:r w:rsidRPr="00004592">
        <w:rPr>
          <w:rFonts w:ascii="Times New Roman" w:hAnsi="Times New Roman" w:cs="Times New Roman"/>
          <w:b/>
          <w:sz w:val="24"/>
          <w:szCs w:val="24"/>
        </w:rPr>
        <w:t xml:space="preserve">8. Kvalifikacijos tobulinimas planuojamas ir vykdomas dviem kryptimis: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8.1. bendras kvalifikacijos kėlimas siejamas su lopšelio-darželio prioritetais, tikslų ir uždavinių įgyvendinimu;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8.2. individualaus mokytojo kvalifikacijos tobulinimas siejamas su atestacijos rekomendacijomis, dalyko specifika, savęs tobulinimo programa. </w:t>
      </w:r>
    </w:p>
    <w:p w:rsidR="00004592" w:rsidRPr="00004592" w:rsidRDefault="0009433E" w:rsidP="0081636F">
      <w:pPr>
        <w:ind w:firstLine="851"/>
        <w:jc w:val="both"/>
        <w:rPr>
          <w:rFonts w:ascii="Times New Roman" w:hAnsi="Times New Roman" w:cs="Times New Roman"/>
          <w:b/>
          <w:sz w:val="24"/>
          <w:szCs w:val="24"/>
        </w:rPr>
      </w:pPr>
      <w:r w:rsidRPr="00004592">
        <w:rPr>
          <w:rFonts w:ascii="Times New Roman" w:hAnsi="Times New Roman" w:cs="Times New Roman"/>
          <w:b/>
          <w:sz w:val="24"/>
          <w:szCs w:val="24"/>
        </w:rPr>
        <w:t xml:space="preserve">9. Mokytojams keliant kvalifikaciją prioritetai teikiami tokia tvarka: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9.1. keliant kvalifikaciją ne darbo metu;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9.2. keliant kvalifikaciją nemokamuose kvalifikacijos kėlimo kursuose;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9.3. keliant kvalifikaciją kvalifikaciniuose renginiuose, kurie numatyti kaip prioritetiniai metiniame veiklos plane;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9.4. mokytojams, kuriems numatyta atestacijos programoje atestuotis einamaisiais metais.</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 10. Įstaigos mokytojų kvalifikacijos tobulinimo programa rengiama vieneriems metams, aprobuojama mokytojų taryboje ir tvirtinama lopšelio-darželio direktoriaus.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11. Mokytojų kvalifikacijos tobulinimo programa rengiama gruodžio mėn., atsižvelgiant į lopšelio-darželio metų veiklos plano ir mokslo metų veiklos plano  tikslus, į lopšelio</w:t>
      </w:r>
      <w:r w:rsidR="00004592">
        <w:rPr>
          <w:rFonts w:ascii="Times New Roman" w:hAnsi="Times New Roman" w:cs="Times New Roman"/>
          <w:sz w:val="24"/>
          <w:szCs w:val="24"/>
        </w:rPr>
        <w:t>-</w:t>
      </w:r>
      <w:r w:rsidRPr="0009433E">
        <w:rPr>
          <w:rFonts w:ascii="Times New Roman" w:hAnsi="Times New Roman" w:cs="Times New Roman"/>
          <w:sz w:val="24"/>
          <w:szCs w:val="24"/>
        </w:rPr>
        <w:t xml:space="preserve">darželio mokytojų pageidavimus, kurie yra pateikiami direktoriaus pavaduotojui ugdymui einamųjų metų rugsėjo - spalio mėnesiais. Reikalui esant, mokytojų kvalifikacijos tobulinimo programa yra koreguojama rugsėjo mėnesį.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12. Mokytojai turi teisę kelti kvalifikaciją 5 darbo dienas per metus.</w:t>
      </w:r>
    </w:p>
    <w:p w:rsidR="0009433E" w:rsidRP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lastRenderedPageBreak/>
        <w:t xml:space="preserve"> 13. Mokytojų kvalifikacijos tobulinimo apskaitą tvarko direktoriaus pavaduotojas ugdymui.  </w:t>
      </w:r>
    </w:p>
    <w:p w:rsidR="0009433E" w:rsidRPr="00004592" w:rsidRDefault="0009433E" w:rsidP="0081636F">
      <w:pPr>
        <w:jc w:val="center"/>
        <w:rPr>
          <w:rFonts w:ascii="Times New Roman" w:hAnsi="Times New Roman" w:cs="Times New Roman"/>
          <w:b/>
          <w:sz w:val="24"/>
          <w:szCs w:val="24"/>
        </w:rPr>
      </w:pPr>
      <w:r w:rsidRPr="00004592">
        <w:rPr>
          <w:rFonts w:ascii="Times New Roman" w:hAnsi="Times New Roman" w:cs="Times New Roman"/>
          <w:b/>
          <w:sz w:val="24"/>
          <w:szCs w:val="24"/>
        </w:rPr>
        <w:t>KVALIFIKACIJOS KĖLIMO TVARKA</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14. Mokytojas, ketindamas dalyvauti kvalifikaciniame renginyje, ne vėliau kaip prieš 3 darbo dienas raštu kreipiasi į lopšelio-darželio direktorių ir nurodo renginio pavadinimą, vietą, trukmę, apmokėjimo būdą (pagal sąskaitą faktūrą, grynaisiais pinigais,</w:t>
      </w:r>
      <w:r w:rsidR="00004592">
        <w:rPr>
          <w:rFonts w:ascii="Times New Roman" w:hAnsi="Times New Roman" w:cs="Times New Roman"/>
          <w:sz w:val="24"/>
          <w:szCs w:val="24"/>
        </w:rPr>
        <w:t xml:space="preserve"> naudosis asmeninėmis ar ugdytinio</w:t>
      </w:r>
      <w:r w:rsidRPr="0009433E">
        <w:rPr>
          <w:rFonts w:ascii="Times New Roman" w:hAnsi="Times New Roman" w:cs="Times New Roman"/>
          <w:sz w:val="24"/>
          <w:szCs w:val="24"/>
        </w:rPr>
        <w:t xml:space="preserve"> krepšelio lėšomis, kitų fondų lėšomis).</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 15. Jei kvalifikacinis renginys yra nemokamas, vyksta ne darbo metu, suderinimas raštu yra nebūtinas. </w:t>
      </w:r>
    </w:p>
    <w:p w:rsidR="0009433E" w:rsidRP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16. Jei kvalifikacijos renginys yra susijęs su mokytojo darbo diena pagal darbo grafiką, tai mokytojas turi sud</w:t>
      </w:r>
      <w:r w:rsidR="00004592">
        <w:rPr>
          <w:rFonts w:ascii="Times New Roman" w:hAnsi="Times New Roman" w:cs="Times New Roman"/>
          <w:sz w:val="24"/>
          <w:szCs w:val="24"/>
        </w:rPr>
        <w:t xml:space="preserve">erinti savo darbą su išvykimu.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17. Mokytojas grįžęs iš kvalifikacijos tobulinimo renginio, direktoriaus pavaduotojui ugdymui pateikia kvalifikacijos tobulinimo pažymėjimo kopiją, patvirtinančią jo dalyvavimą kvalifikaciniame renginyje.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18. Mokytojai grįžęs iš kvalifikacijos tobulinimo renginių, direktoriui turi pateikti išlaidas patvirtinančius dokumentus: sąskaitą faktūrą ir kelionės bilietus (jeigu lėšos yra suplanuotos lopšelio-darželio metų sąmatoje). </w:t>
      </w:r>
    </w:p>
    <w:p w:rsidR="0009433E" w:rsidRP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19. Mokytojai, grįžę iš kvalifikacijos tobulinimo seminarų, konferencijų, stažuočių ir kt., įgyta patirtimi dalijasi metodinėje taryboje arba mokytojų taryboje.   </w:t>
      </w:r>
    </w:p>
    <w:p w:rsidR="0009433E" w:rsidRPr="00004592" w:rsidRDefault="0009433E" w:rsidP="0081636F">
      <w:pPr>
        <w:jc w:val="center"/>
        <w:rPr>
          <w:rFonts w:ascii="Times New Roman" w:hAnsi="Times New Roman" w:cs="Times New Roman"/>
          <w:b/>
          <w:sz w:val="24"/>
          <w:szCs w:val="24"/>
        </w:rPr>
      </w:pPr>
      <w:r w:rsidRPr="00004592">
        <w:rPr>
          <w:rFonts w:ascii="Times New Roman" w:hAnsi="Times New Roman" w:cs="Times New Roman"/>
          <w:b/>
          <w:sz w:val="24"/>
          <w:szCs w:val="24"/>
        </w:rPr>
        <w:t>KVALIFIKACIJAI TOBULINTI SKIRTŲ LĖŠŲ PANAUDOJIMAS</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20. Mokytojų kvalifikacijos tobulinimas gali būti finansuojamas: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20.1. iš valstybės biudžeto (mokinio krepšelio) lėšų, skirtų kvalifikacijos kėlimui;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20.2. fizinių asmenų lėšomis;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20.3. kitų šaltinių lėšomis.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21. Iš valstybės biudžeto lėšų gali būti finansuojama mokytojo edukacinių išvykų sąmatos dalis, kuri skirta kvalifikacijos tobulinimo programai vykdyti.</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 22. Kalendorinių metų pradžioje lopšelio-darželio direktorius informuoja mokytojus apie tai, kiek einamiesiems metams skirta lėšų kvalifikacijai tobulinti ir kokia šios sumos dalis tenka kiekvienam mokytojui pagal mokinio krepšelio dydį.   </w:t>
      </w:r>
    </w:p>
    <w:p w:rsidR="00004592"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23. Už mokytojo dalyvavimą kvalifikacijos tobulinimo renginiuose apmokama atsižvelgiant į lopšelio-darželio biudžete turimas lėšas. Lopšelis-darželis per metus apmoka ne daugiau kaip už 5 kvalifikacijos kėlimo dienas. Trūkstant lėšų – kvalifikacijos kėlimas gali būti finansuojamas iš dalies, pinigus skirstant proporcingai mokytojų, dirbančių pagrindinėje darbovietėje, skaičiui. </w:t>
      </w:r>
    </w:p>
    <w:p w:rsidR="0009433E" w:rsidRDefault="0009433E" w:rsidP="0081636F">
      <w:pPr>
        <w:ind w:firstLine="851"/>
        <w:jc w:val="both"/>
        <w:rPr>
          <w:rFonts w:ascii="Times New Roman" w:hAnsi="Times New Roman" w:cs="Times New Roman"/>
          <w:sz w:val="24"/>
          <w:szCs w:val="24"/>
        </w:rPr>
      </w:pPr>
      <w:r w:rsidRPr="0009433E">
        <w:rPr>
          <w:rFonts w:ascii="Times New Roman" w:hAnsi="Times New Roman" w:cs="Times New Roman"/>
          <w:sz w:val="24"/>
          <w:szCs w:val="24"/>
        </w:rPr>
        <w:t xml:space="preserve"> 24. Priimant sprendimą dėl kvalifikacinio renginio apmokėjimo, atsižvelgiama į renginio svarbą, kokybę ir jo reikalingumą. Pirmenybė teikiama lopšelio-darželio tikslus, uždavinius bei poreikius atitinkantiems renginiams.  </w:t>
      </w:r>
    </w:p>
    <w:p w:rsidR="0009433E" w:rsidRPr="00004592" w:rsidRDefault="0009433E" w:rsidP="0081636F">
      <w:pPr>
        <w:ind w:firstLine="851"/>
        <w:jc w:val="center"/>
        <w:rPr>
          <w:rFonts w:ascii="Times New Roman" w:hAnsi="Times New Roman" w:cs="Times New Roman"/>
          <w:b/>
          <w:sz w:val="24"/>
          <w:szCs w:val="24"/>
        </w:rPr>
      </w:pPr>
      <w:r w:rsidRPr="00004592">
        <w:rPr>
          <w:rFonts w:ascii="Times New Roman" w:hAnsi="Times New Roman" w:cs="Times New Roman"/>
          <w:b/>
          <w:sz w:val="24"/>
          <w:szCs w:val="24"/>
        </w:rPr>
        <w:lastRenderedPageBreak/>
        <w:t>BAIGIAMOSIOS NUOSTATOS</w:t>
      </w:r>
    </w:p>
    <w:p w:rsidR="00004592" w:rsidRDefault="0009433E" w:rsidP="0081636F">
      <w:pPr>
        <w:ind w:firstLine="851"/>
        <w:rPr>
          <w:rFonts w:ascii="Times New Roman" w:hAnsi="Times New Roman" w:cs="Times New Roman"/>
          <w:sz w:val="24"/>
          <w:szCs w:val="24"/>
        </w:rPr>
      </w:pPr>
      <w:r w:rsidRPr="0009433E">
        <w:rPr>
          <w:rFonts w:ascii="Times New Roman" w:hAnsi="Times New Roman" w:cs="Times New Roman"/>
          <w:sz w:val="24"/>
          <w:szCs w:val="24"/>
        </w:rPr>
        <w:t xml:space="preserve">25. Kvalifikacinius pažymėjimus saugo kiekvienas mokytojas asmeniškai. </w:t>
      </w:r>
    </w:p>
    <w:p w:rsidR="00004592" w:rsidRDefault="0009433E" w:rsidP="0081636F">
      <w:pPr>
        <w:ind w:firstLine="851"/>
        <w:rPr>
          <w:rFonts w:ascii="Times New Roman" w:hAnsi="Times New Roman" w:cs="Times New Roman"/>
          <w:sz w:val="24"/>
          <w:szCs w:val="24"/>
        </w:rPr>
      </w:pPr>
      <w:r w:rsidRPr="0009433E">
        <w:rPr>
          <w:rFonts w:ascii="Times New Roman" w:hAnsi="Times New Roman" w:cs="Times New Roman"/>
          <w:sz w:val="24"/>
          <w:szCs w:val="24"/>
        </w:rPr>
        <w:t xml:space="preserve">26. Mokytojų prašymai dalyvauti kvalifikacijos kėlimo renginiuose, lopšelio-darželio metinė kvalifikacijos kėlimo programa, mokytojų kvalifikacinių pažymėjimų kopijos saugomi bylose pagal lopšelyje-darželyje patvirtintą dokumentacijos planą. </w:t>
      </w:r>
    </w:p>
    <w:p w:rsidR="00004592" w:rsidRDefault="0009433E" w:rsidP="0081636F">
      <w:pPr>
        <w:ind w:firstLine="851"/>
        <w:rPr>
          <w:rFonts w:ascii="Times New Roman" w:hAnsi="Times New Roman" w:cs="Times New Roman"/>
          <w:sz w:val="24"/>
          <w:szCs w:val="24"/>
        </w:rPr>
      </w:pPr>
      <w:r w:rsidRPr="0009433E">
        <w:rPr>
          <w:rFonts w:ascii="Times New Roman" w:hAnsi="Times New Roman" w:cs="Times New Roman"/>
          <w:sz w:val="24"/>
          <w:szCs w:val="24"/>
        </w:rPr>
        <w:t xml:space="preserve">27. Vienos kvalifikacijos tobulinimo dienos trukmę atitinka kvalifikacijos tobulinimo renginių 6 akademinių valandų trukmė. </w:t>
      </w:r>
    </w:p>
    <w:p w:rsidR="0009433E" w:rsidRPr="0009433E" w:rsidRDefault="0009433E" w:rsidP="0081636F">
      <w:pPr>
        <w:ind w:firstLine="851"/>
        <w:rPr>
          <w:rFonts w:ascii="Times New Roman" w:hAnsi="Times New Roman" w:cs="Times New Roman"/>
          <w:sz w:val="24"/>
          <w:szCs w:val="24"/>
        </w:rPr>
      </w:pPr>
      <w:r w:rsidRPr="0009433E">
        <w:rPr>
          <w:rFonts w:ascii="Times New Roman" w:hAnsi="Times New Roman" w:cs="Times New Roman"/>
          <w:sz w:val="24"/>
          <w:szCs w:val="24"/>
        </w:rPr>
        <w:t xml:space="preserve">28. Dalyvavimas kvalifikacijos tobulinimo renginiuose užsienyje yra pripažįstamas pagal kvalifikacijos tobulinimo renginį organizavusios ar vykdžiusios institucijos išduotus pažymėjimus.  </w:t>
      </w:r>
      <w:r w:rsidR="00004592">
        <w:rPr>
          <w:rFonts w:ascii="Times New Roman" w:hAnsi="Times New Roman" w:cs="Times New Roman"/>
          <w:sz w:val="24"/>
          <w:szCs w:val="24"/>
        </w:rPr>
        <w:t xml:space="preserve">             </w:t>
      </w:r>
    </w:p>
    <w:p w:rsidR="00004592" w:rsidRDefault="0009433E" w:rsidP="0009433E">
      <w:pPr>
        <w:rPr>
          <w:rFonts w:ascii="Times New Roman" w:hAnsi="Times New Roman" w:cs="Times New Roman"/>
          <w:sz w:val="24"/>
          <w:szCs w:val="24"/>
        </w:rPr>
      </w:pPr>
      <w:r w:rsidRPr="0009433E">
        <w:rPr>
          <w:rFonts w:ascii="Times New Roman" w:hAnsi="Times New Roman" w:cs="Times New Roman"/>
          <w:sz w:val="24"/>
          <w:szCs w:val="24"/>
        </w:rPr>
        <w:t xml:space="preserve">                                                               </w:t>
      </w:r>
    </w:p>
    <w:p w:rsidR="0081636F" w:rsidRDefault="00004592" w:rsidP="0009433E">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r w:rsidR="0009433E" w:rsidRPr="0009433E">
        <w:rPr>
          <w:rFonts w:ascii="Times New Roman" w:hAnsi="Times New Roman" w:cs="Times New Roman"/>
          <w:sz w:val="24"/>
          <w:szCs w:val="24"/>
        </w:rPr>
        <w:t xml:space="preserve">                                 </w:t>
      </w: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pPr>
    </w:p>
    <w:p w:rsidR="0081636F" w:rsidRDefault="0081636F" w:rsidP="0009433E">
      <w:pPr>
        <w:rPr>
          <w:rFonts w:ascii="Times New Roman" w:hAnsi="Times New Roman" w:cs="Times New Roman"/>
          <w:sz w:val="24"/>
          <w:szCs w:val="24"/>
        </w:rPr>
        <w:sectPr w:rsidR="0081636F">
          <w:pgSz w:w="11906" w:h="16838"/>
          <w:pgMar w:top="1701" w:right="567" w:bottom="1134" w:left="1701" w:header="567" w:footer="567" w:gutter="0"/>
          <w:cols w:space="1296"/>
          <w:docGrid w:linePitch="360"/>
        </w:sectPr>
      </w:pPr>
    </w:p>
    <w:p w:rsidR="0081636F" w:rsidRPr="0081636F" w:rsidRDefault="0009433E" w:rsidP="0081636F">
      <w:pPr>
        <w:autoSpaceDE w:val="0"/>
        <w:autoSpaceDN w:val="0"/>
        <w:adjustRightInd w:val="0"/>
        <w:spacing w:after="0" w:line="240" w:lineRule="auto"/>
        <w:ind w:left="5184"/>
        <w:rPr>
          <w:rFonts w:ascii="Times New Roman" w:eastAsia="Times New Roman" w:hAnsi="Times New Roman" w:cs="Times New Roman"/>
          <w:bCs/>
          <w:sz w:val="24"/>
          <w:szCs w:val="24"/>
          <w:lang w:eastAsia="lt-LT"/>
        </w:rPr>
      </w:pPr>
      <w:r w:rsidRPr="0009433E">
        <w:rPr>
          <w:rFonts w:ascii="Times New Roman" w:hAnsi="Times New Roman" w:cs="Times New Roman"/>
          <w:sz w:val="24"/>
          <w:szCs w:val="24"/>
        </w:rPr>
        <w:lastRenderedPageBreak/>
        <w:t xml:space="preserve">                        </w:t>
      </w:r>
      <w:r w:rsidR="0081636F" w:rsidRPr="0081636F">
        <w:rPr>
          <w:rFonts w:ascii="Times New Roman" w:eastAsia="Calibri" w:hAnsi="Times New Roman" w:cs="Times New Roman"/>
          <w:b/>
          <w:sz w:val="24"/>
          <w:szCs w:val="24"/>
          <w:lang w:val="pl-PL"/>
        </w:rPr>
        <w:t xml:space="preserve">                                                                          </w:t>
      </w:r>
      <w:r w:rsidR="0081636F" w:rsidRPr="0081636F">
        <w:rPr>
          <w:rFonts w:ascii="Times New Roman" w:eastAsia="Times New Roman" w:hAnsi="Times New Roman" w:cs="Times New Roman"/>
          <w:bCs/>
          <w:sz w:val="24"/>
          <w:szCs w:val="24"/>
          <w:lang w:eastAsia="lt-LT"/>
        </w:rPr>
        <w:t>PATVIRTINTA</w:t>
      </w:r>
    </w:p>
    <w:p w:rsidR="0081636F" w:rsidRPr="0081636F" w:rsidRDefault="0081636F" w:rsidP="0081636F">
      <w:pPr>
        <w:autoSpaceDE w:val="0"/>
        <w:autoSpaceDN w:val="0"/>
        <w:adjustRightInd w:val="0"/>
        <w:spacing w:after="0" w:line="240" w:lineRule="auto"/>
        <w:ind w:left="5184"/>
        <w:rPr>
          <w:rFonts w:ascii="Times New Roman" w:eastAsia="Times New Roman" w:hAnsi="Times New Roman" w:cs="Times New Roman"/>
          <w:sz w:val="24"/>
          <w:szCs w:val="24"/>
          <w:lang w:eastAsia="lt-LT"/>
        </w:rPr>
      </w:pPr>
      <w:r w:rsidRPr="0081636F">
        <w:rPr>
          <w:rFonts w:ascii="Times New Roman" w:eastAsia="Times New Roman" w:hAnsi="Times New Roman" w:cs="Times New Roman"/>
          <w:sz w:val="24"/>
          <w:szCs w:val="24"/>
          <w:lang w:eastAsia="lt-LT"/>
        </w:rPr>
        <w:t xml:space="preserve">                                                                          Marijampolės vaikų lopšelio-darželio „Rūta“</w:t>
      </w:r>
    </w:p>
    <w:p w:rsidR="0081636F" w:rsidRPr="0081636F" w:rsidRDefault="0081636F" w:rsidP="0081636F">
      <w:pPr>
        <w:autoSpaceDE w:val="0"/>
        <w:autoSpaceDN w:val="0"/>
        <w:adjustRightInd w:val="0"/>
        <w:spacing w:after="0" w:line="240" w:lineRule="auto"/>
        <w:ind w:left="5184"/>
        <w:rPr>
          <w:rFonts w:ascii="Times New Roman" w:eastAsia="Times New Roman" w:hAnsi="Times New Roman" w:cs="Times New Roman"/>
          <w:sz w:val="24"/>
          <w:szCs w:val="24"/>
          <w:lang w:eastAsia="lt-LT"/>
        </w:rPr>
      </w:pPr>
      <w:r w:rsidRPr="0081636F">
        <w:rPr>
          <w:rFonts w:ascii="Times New Roman" w:eastAsia="Times New Roman" w:hAnsi="Times New Roman" w:cs="Times New Roman"/>
          <w:sz w:val="24"/>
          <w:szCs w:val="24"/>
          <w:lang w:eastAsia="lt-LT"/>
        </w:rPr>
        <w:t xml:space="preserve">                                                                          direktoriaus 202</w:t>
      </w:r>
      <w:r>
        <w:rPr>
          <w:rFonts w:ascii="Times New Roman" w:eastAsia="Times New Roman" w:hAnsi="Times New Roman" w:cs="Times New Roman"/>
          <w:sz w:val="24"/>
          <w:szCs w:val="24"/>
          <w:lang w:eastAsia="lt-LT"/>
        </w:rPr>
        <w:t>..............</w:t>
      </w:r>
      <w:r w:rsidRPr="0081636F">
        <w:rPr>
          <w:rFonts w:ascii="Times New Roman" w:eastAsia="Times New Roman" w:hAnsi="Times New Roman" w:cs="Times New Roman"/>
          <w:sz w:val="24"/>
          <w:szCs w:val="24"/>
          <w:lang w:eastAsia="lt-LT"/>
        </w:rPr>
        <w:t xml:space="preserve">   įsakymu </w:t>
      </w:r>
      <w:proofErr w:type="spellStart"/>
      <w:r w:rsidRPr="0081636F">
        <w:rPr>
          <w:rFonts w:ascii="Times New Roman" w:eastAsia="Times New Roman" w:hAnsi="Times New Roman" w:cs="Times New Roman"/>
          <w:sz w:val="24"/>
          <w:szCs w:val="24"/>
          <w:lang w:eastAsia="lt-LT"/>
        </w:rPr>
        <w:t>Nr.</w:t>
      </w:r>
      <w:r>
        <w:rPr>
          <w:rFonts w:ascii="Times New Roman" w:eastAsia="Times New Roman" w:hAnsi="Times New Roman" w:cs="Times New Roman"/>
          <w:sz w:val="24"/>
          <w:szCs w:val="24"/>
          <w:lang w:eastAsia="lt-LT"/>
        </w:rPr>
        <w:t>V-</w:t>
      </w:r>
      <w:proofErr w:type="spellEnd"/>
    </w:p>
    <w:p w:rsidR="0081636F" w:rsidRPr="0081636F" w:rsidRDefault="0081636F" w:rsidP="0081636F">
      <w:pPr>
        <w:spacing w:line="256" w:lineRule="auto"/>
        <w:jc w:val="center"/>
        <w:rPr>
          <w:rFonts w:ascii="Times New Roman" w:eastAsia="Calibri" w:hAnsi="Times New Roman" w:cs="Times New Roman"/>
          <w:b/>
          <w:sz w:val="24"/>
          <w:szCs w:val="24"/>
          <w:lang w:val="pl-PL"/>
        </w:rPr>
      </w:pPr>
    </w:p>
    <w:p w:rsidR="0081636F" w:rsidRPr="0081636F" w:rsidRDefault="0081636F" w:rsidP="0081636F">
      <w:pPr>
        <w:spacing w:line="256" w:lineRule="auto"/>
        <w:jc w:val="center"/>
        <w:rPr>
          <w:rFonts w:ascii="Times New Roman" w:eastAsia="Calibri" w:hAnsi="Times New Roman" w:cs="Times New Roman"/>
          <w:b/>
          <w:sz w:val="24"/>
          <w:szCs w:val="24"/>
          <w:lang w:val="pl-PL"/>
        </w:rPr>
      </w:pPr>
      <w:r w:rsidRPr="0081636F">
        <w:rPr>
          <w:rFonts w:ascii="Times New Roman" w:eastAsia="Calibri" w:hAnsi="Times New Roman" w:cs="Times New Roman"/>
          <w:b/>
          <w:sz w:val="24"/>
          <w:szCs w:val="24"/>
          <w:lang w:val="pl-PL"/>
        </w:rPr>
        <w:t>MARIJAMPOLĖS VAIKŲ LOPŠELIO – DARŽELIO „RŪTA”</w:t>
      </w:r>
    </w:p>
    <w:p w:rsidR="0081636F" w:rsidRPr="0081636F" w:rsidRDefault="0081636F" w:rsidP="0081636F">
      <w:pPr>
        <w:spacing w:after="200" w:line="276" w:lineRule="auto"/>
        <w:jc w:val="center"/>
        <w:rPr>
          <w:rFonts w:ascii="Times New Roman" w:eastAsia="Calibri" w:hAnsi="Times New Roman" w:cs="Times New Roman"/>
          <w:b/>
          <w:bCs/>
          <w:sz w:val="24"/>
          <w:szCs w:val="24"/>
        </w:rPr>
      </w:pPr>
      <w:r w:rsidRPr="0081636F">
        <w:rPr>
          <w:rFonts w:ascii="Times New Roman" w:eastAsia="Calibri" w:hAnsi="Times New Roman" w:cs="Times New Roman"/>
          <w:b/>
          <w:bCs/>
          <w:sz w:val="24"/>
          <w:szCs w:val="24"/>
        </w:rPr>
        <w:t xml:space="preserve">MOKYTOJO DALYVAVIMAS </w:t>
      </w:r>
      <w:r>
        <w:rPr>
          <w:rFonts w:ascii="Times New Roman" w:eastAsia="Calibri" w:hAnsi="Times New Roman" w:cs="Times New Roman"/>
          <w:b/>
          <w:bCs/>
          <w:sz w:val="24"/>
          <w:szCs w:val="24"/>
        </w:rPr>
        <w:t>KVALIFIKACIJOS</w:t>
      </w:r>
      <w:r w:rsidRPr="0081636F">
        <w:rPr>
          <w:rFonts w:ascii="Times New Roman" w:eastAsia="Calibri" w:hAnsi="Times New Roman" w:cs="Times New Roman"/>
          <w:b/>
          <w:bCs/>
          <w:sz w:val="24"/>
          <w:szCs w:val="24"/>
        </w:rPr>
        <w:t xml:space="preserve"> TOBULINIMO RENGINIUOSE </w:t>
      </w:r>
    </w:p>
    <w:p w:rsidR="0081636F" w:rsidRPr="0081636F" w:rsidRDefault="0081636F" w:rsidP="0081636F">
      <w:pPr>
        <w:spacing w:after="0" w:line="276" w:lineRule="auto"/>
        <w:jc w:val="center"/>
        <w:rPr>
          <w:rFonts w:ascii="Cambria" w:eastAsia="Calibri" w:hAnsi="Cambria" w:cs="Cambria"/>
          <w:color w:val="FFFFFF"/>
          <w:u w:val="single"/>
        </w:rPr>
      </w:pPr>
      <w:r w:rsidRPr="0081636F">
        <w:rPr>
          <w:rFonts w:ascii="Cambria" w:eastAsia="Calibri" w:hAnsi="Cambria" w:cs="Cambria"/>
          <w:color w:val="FFFFFF"/>
          <w:u w:val="single"/>
        </w:rPr>
        <w:t>m</w:t>
      </w:r>
      <w:r w:rsidRPr="0081636F">
        <w:rPr>
          <w:rFonts w:ascii="Cambria" w:eastAsia="Calibri" w:hAnsi="Cambria" w:cs="Cambria"/>
          <w:color w:val="000000"/>
          <w:u w:val="single"/>
        </w:rPr>
        <w:t xml:space="preserve">                                                                                                                                                                </w:t>
      </w:r>
      <w:r w:rsidRPr="0081636F">
        <w:rPr>
          <w:rFonts w:ascii="Cambria" w:eastAsia="Calibri" w:hAnsi="Cambria" w:cs="Cambria"/>
          <w:color w:val="FFFFFF"/>
          <w:u w:val="single"/>
        </w:rPr>
        <w:t>m</w:t>
      </w:r>
    </w:p>
    <w:p w:rsidR="0081636F" w:rsidRPr="0081636F" w:rsidRDefault="0081636F" w:rsidP="0081636F">
      <w:pPr>
        <w:spacing w:after="0" w:line="276" w:lineRule="auto"/>
        <w:jc w:val="center"/>
        <w:rPr>
          <w:rFonts w:ascii="Cambria" w:eastAsia="Calibri" w:hAnsi="Cambria" w:cs="Cambria"/>
          <w:color w:val="000000"/>
          <w:sz w:val="18"/>
          <w:szCs w:val="18"/>
        </w:rPr>
      </w:pPr>
      <w:r w:rsidRPr="0081636F">
        <w:rPr>
          <w:rFonts w:ascii="Cambria" w:eastAsia="Calibri" w:hAnsi="Cambria" w:cs="Cambria"/>
          <w:color w:val="FFFFFF"/>
          <w:sz w:val="18"/>
          <w:szCs w:val="18"/>
        </w:rPr>
        <w:t>(</w:t>
      </w:r>
      <w:r w:rsidRPr="0081636F">
        <w:rPr>
          <w:rFonts w:ascii="Cambria" w:eastAsia="Calibri" w:hAnsi="Cambria" w:cs="Cambria"/>
          <w:color w:val="000000"/>
          <w:sz w:val="18"/>
          <w:szCs w:val="18"/>
        </w:rPr>
        <w:t>(</w:t>
      </w:r>
      <w:r w:rsidRPr="0081636F">
        <w:rPr>
          <w:rFonts w:ascii="Cambria" w:eastAsia="Calibri" w:hAnsi="Cambria" w:cs="Cambria"/>
          <w:i/>
          <w:iCs/>
          <w:color w:val="000000"/>
          <w:sz w:val="18"/>
          <w:szCs w:val="18"/>
        </w:rPr>
        <w:t>mokytojo vardas, pavardė</w:t>
      </w:r>
      <w:r w:rsidRPr="0081636F">
        <w:rPr>
          <w:rFonts w:ascii="Cambria" w:eastAsia="Calibri" w:hAnsi="Cambria" w:cs="Cambria"/>
          <w:color w:val="000000"/>
          <w:sz w:val="18"/>
          <w:szCs w:val="18"/>
        </w:rPr>
        <w:t>)</w:t>
      </w:r>
    </w:p>
    <w:p w:rsidR="0081636F" w:rsidRPr="0081636F" w:rsidRDefault="0081636F" w:rsidP="0081636F">
      <w:pPr>
        <w:spacing w:after="0" w:line="276" w:lineRule="auto"/>
        <w:jc w:val="center"/>
        <w:rPr>
          <w:rFonts w:ascii="Cambria" w:eastAsia="Calibri" w:hAnsi="Cambria" w:cs="Cambria"/>
          <w:color w:val="000000"/>
          <w:sz w:val="24"/>
          <w:szCs w:val="24"/>
        </w:rPr>
      </w:pPr>
    </w:p>
    <w:p w:rsidR="0081636F" w:rsidRPr="0081636F" w:rsidRDefault="0081636F" w:rsidP="0081636F">
      <w:pPr>
        <w:spacing w:after="0" w:line="276" w:lineRule="auto"/>
        <w:jc w:val="center"/>
        <w:rPr>
          <w:rFonts w:ascii="Times New Roman" w:eastAsia="Calibri" w:hAnsi="Times New Roman" w:cs="Times New Roman"/>
          <w:b/>
          <w:bCs/>
          <w:color w:val="000000"/>
          <w:sz w:val="24"/>
          <w:szCs w:val="24"/>
        </w:rPr>
      </w:pPr>
      <w:r w:rsidRPr="0081636F">
        <w:rPr>
          <w:rFonts w:ascii="Times New Roman" w:eastAsia="Calibri" w:hAnsi="Times New Roman" w:cs="Times New Roman"/>
          <w:b/>
          <w:bCs/>
          <w:color w:val="000000"/>
          <w:sz w:val="24"/>
          <w:szCs w:val="24"/>
        </w:rPr>
        <w:t>2021m.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4726"/>
        <w:gridCol w:w="1440"/>
        <w:gridCol w:w="1080"/>
        <w:gridCol w:w="1620"/>
        <w:gridCol w:w="1440"/>
        <w:gridCol w:w="1511"/>
      </w:tblGrid>
      <w:tr w:rsidR="0081636F" w:rsidRPr="0081636F" w:rsidTr="00543E38">
        <w:tc>
          <w:tcPr>
            <w:tcW w:w="2402"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Institucija</w:t>
            </w:r>
          </w:p>
        </w:tc>
        <w:tc>
          <w:tcPr>
            <w:tcW w:w="4726"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Kursų, stažuotės, projekto ir pan. pavadinimas</w:t>
            </w:r>
          </w:p>
        </w:tc>
        <w:tc>
          <w:tcPr>
            <w:tcW w:w="1440"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Data</w:t>
            </w:r>
          </w:p>
        </w:tc>
        <w:tc>
          <w:tcPr>
            <w:tcW w:w="1080"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 xml:space="preserve">Dienų skaičius </w:t>
            </w:r>
          </w:p>
        </w:tc>
        <w:tc>
          <w:tcPr>
            <w:tcW w:w="1620"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„Mokinio krepšelio“ lėšos</w:t>
            </w:r>
          </w:p>
        </w:tc>
        <w:tc>
          <w:tcPr>
            <w:tcW w:w="1440"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Projektai</w:t>
            </w:r>
          </w:p>
        </w:tc>
        <w:tc>
          <w:tcPr>
            <w:tcW w:w="1511"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Asmeninės lėšos</w:t>
            </w:r>
          </w:p>
        </w:tc>
      </w:tr>
      <w:tr w:rsidR="0081636F" w:rsidRPr="0081636F" w:rsidTr="00543E38">
        <w:trPr>
          <w:trHeight w:val="1649"/>
        </w:trPr>
        <w:tc>
          <w:tcPr>
            <w:tcW w:w="2402" w:type="dxa"/>
          </w:tcPr>
          <w:p w:rsidR="0081636F" w:rsidRPr="0081636F" w:rsidRDefault="0081636F" w:rsidP="0081636F">
            <w:pPr>
              <w:spacing w:after="0" w:line="240" w:lineRule="auto"/>
              <w:rPr>
                <w:rFonts w:ascii="Times New Roman" w:eastAsia="Calibri" w:hAnsi="Times New Roman" w:cs="Times New Roman"/>
                <w:b/>
                <w:bCs/>
                <w:color w:val="000000"/>
              </w:rPr>
            </w:pPr>
          </w:p>
        </w:tc>
        <w:tc>
          <w:tcPr>
            <w:tcW w:w="4726" w:type="dxa"/>
          </w:tcPr>
          <w:p w:rsidR="0081636F" w:rsidRPr="0081636F" w:rsidRDefault="0081636F" w:rsidP="0081636F">
            <w:pPr>
              <w:spacing w:after="0" w:line="240" w:lineRule="auto"/>
              <w:rPr>
                <w:rFonts w:ascii="Times New Roman" w:eastAsia="Calibri" w:hAnsi="Times New Roman" w:cs="Times New Roman"/>
                <w:b/>
                <w:bCs/>
                <w:color w:val="000000"/>
              </w:rPr>
            </w:pPr>
          </w:p>
        </w:tc>
        <w:tc>
          <w:tcPr>
            <w:tcW w:w="1440"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1080"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1620"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1440"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1511"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p w:rsidR="0081636F" w:rsidRPr="0081636F" w:rsidRDefault="0081636F" w:rsidP="0081636F">
            <w:pPr>
              <w:spacing w:after="0" w:line="240" w:lineRule="auto"/>
              <w:rPr>
                <w:rFonts w:ascii="Times New Roman" w:eastAsia="Calibri" w:hAnsi="Times New Roman" w:cs="Times New Roman"/>
                <w:b/>
                <w:bCs/>
                <w:color w:val="000000"/>
              </w:rPr>
            </w:pPr>
          </w:p>
        </w:tc>
      </w:tr>
      <w:tr w:rsidR="0081636F" w:rsidRPr="0081636F" w:rsidTr="00543E38">
        <w:trPr>
          <w:trHeight w:val="70"/>
        </w:trPr>
        <w:tc>
          <w:tcPr>
            <w:tcW w:w="2402" w:type="dxa"/>
            <w:tcBorders>
              <w:left w:val="nil"/>
              <w:bottom w:val="nil"/>
              <w:right w:val="nil"/>
            </w:tcBorders>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4726" w:type="dxa"/>
            <w:tcBorders>
              <w:left w:val="nil"/>
              <w:bottom w:val="nil"/>
            </w:tcBorders>
          </w:tcPr>
          <w:p w:rsidR="0081636F" w:rsidRPr="0081636F" w:rsidRDefault="0081636F" w:rsidP="0081636F">
            <w:pPr>
              <w:spacing w:after="0" w:line="240" w:lineRule="auto"/>
              <w:jc w:val="right"/>
              <w:rPr>
                <w:rFonts w:ascii="Times New Roman" w:eastAsia="Calibri" w:hAnsi="Times New Roman" w:cs="Times New Roman"/>
                <w:b/>
                <w:bCs/>
                <w:color w:val="000000"/>
              </w:rPr>
            </w:pPr>
          </w:p>
        </w:tc>
        <w:tc>
          <w:tcPr>
            <w:tcW w:w="1440" w:type="dxa"/>
          </w:tcPr>
          <w:p w:rsidR="0081636F" w:rsidRPr="0081636F" w:rsidRDefault="0081636F" w:rsidP="0081636F">
            <w:pPr>
              <w:spacing w:after="0" w:line="240" w:lineRule="auto"/>
              <w:jc w:val="center"/>
              <w:rPr>
                <w:rFonts w:ascii="Times New Roman" w:eastAsia="Calibri" w:hAnsi="Times New Roman" w:cs="Times New Roman"/>
                <w:b/>
                <w:bCs/>
                <w:color w:val="000000"/>
              </w:rPr>
            </w:pPr>
            <w:r w:rsidRPr="0081636F">
              <w:rPr>
                <w:rFonts w:ascii="Times New Roman" w:eastAsia="Calibri" w:hAnsi="Times New Roman" w:cs="Times New Roman"/>
                <w:b/>
                <w:bCs/>
                <w:color w:val="000000"/>
              </w:rPr>
              <w:t>Iš viso:</w:t>
            </w:r>
          </w:p>
        </w:tc>
        <w:tc>
          <w:tcPr>
            <w:tcW w:w="1080"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1620"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1440" w:type="dxa"/>
          </w:tcPr>
          <w:p w:rsidR="0081636F" w:rsidRPr="0081636F" w:rsidRDefault="0081636F" w:rsidP="0081636F">
            <w:pPr>
              <w:spacing w:after="0" w:line="240" w:lineRule="auto"/>
              <w:jc w:val="center"/>
              <w:rPr>
                <w:rFonts w:ascii="Times New Roman" w:eastAsia="Calibri" w:hAnsi="Times New Roman" w:cs="Times New Roman"/>
                <w:b/>
                <w:bCs/>
                <w:color w:val="000000"/>
              </w:rPr>
            </w:pPr>
          </w:p>
        </w:tc>
        <w:tc>
          <w:tcPr>
            <w:tcW w:w="1511" w:type="dxa"/>
          </w:tcPr>
          <w:p w:rsidR="0081636F" w:rsidRPr="0081636F" w:rsidRDefault="0081636F" w:rsidP="0081636F">
            <w:pPr>
              <w:spacing w:after="0" w:line="240" w:lineRule="auto"/>
              <w:rPr>
                <w:rFonts w:ascii="Times New Roman" w:eastAsia="Calibri" w:hAnsi="Times New Roman" w:cs="Times New Roman"/>
                <w:b/>
                <w:bCs/>
                <w:color w:val="000000"/>
              </w:rPr>
            </w:pPr>
          </w:p>
        </w:tc>
      </w:tr>
    </w:tbl>
    <w:p w:rsidR="0081636F" w:rsidRPr="0081636F" w:rsidRDefault="0081636F" w:rsidP="0081636F">
      <w:pPr>
        <w:spacing w:after="0" w:line="276" w:lineRule="auto"/>
        <w:jc w:val="right"/>
        <w:rPr>
          <w:rFonts w:ascii="Times New Roman" w:eastAsia="Calibri" w:hAnsi="Times New Roman" w:cs="Times New Roman"/>
          <w:color w:val="FFFFFF"/>
          <w:sz w:val="24"/>
          <w:szCs w:val="24"/>
          <w:u w:val="single"/>
        </w:rPr>
      </w:pPr>
      <w:r w:rsidRPr="0081636F">
        <w:rPr>
          <w:rFonts w:ascii="Times New Roman" w:eastAsia="Calibri" w:hAnsi="Times New Roman" w:cs="Times New Roman"/>
          <w:color w:val="FFFFFF"/>
          <w:sz w:val="24"/>
          <w:szCs w:val="24"/>
          <w:u w:val="single"/>
        </w:rPr>
        <w:t>M</w:t>
      </w:r>
    </w:p>
    <w:p w:rsidR="0081636F" w:rsidRPr="0081636F" w:rsidRDefault="0081636F" w:rsidP="0081636F">
      <w:pPr>
        <w:spacing w:after="0" w:line="276" w:lineRule="auto"/>
        <w:jc w:val="right"/>
        <w:rPr>
          <w:rFonts w:ascii="Times New Roman" w:eastAsia="Calibri" w:hAnsi="Times New Roman" w:cs="Times New Roman"/>
          <w:color w:val="FFFFFF"/>
          <w:sz w:val="24"/>
          <w:szCs w:val="24"/>
          <w:u w:val="single"/>
        </w:rPr>
      </w:pPr>
    </w:p>
    <w:p w:rsidR="0081636F" w:rsidRPr="0081636F" w:rsidRDefault="0081636F" w:rsidP="0081636F">
      <w:pPr>
        <w:spacing w:after="0" w:line="276" w:lineRule="auto"/>
        <w:jc w:val="right"/>
        <w:rPr>
          <w:rFonts w:ascii="Times New Roman" w:eastAsia="Calibri" w:hAnsi="Times New Roman" w:cs="Times New Roman"/>
          <w:color w:val="FFFFFF"/>
          <w:sz w:val="24"/>
          <w:szCs w:val="24"/>
          <w:u w:val="single"/>
        </w:rPr>
      </w:pPr>
      <w:r w:rsidRPr="0081636F">
        <w:rPr>
          <w:rFonts w:ascii="Times New Roman" w:eastAsia="Calibri" w:hAnsi="Times New Roman" w:cs="Times New Roman"/>
          <w:color w:val="000000"/>
          <w:sz w:val="24"/>
          <w:szCs w:val="24"/>
          <w:u w:val="single"/>
        </w:rPr>
        <w:t xml:space="preserve">                                                      </w:t>
      </w:r>
      <w:r w:rsidRPr="0081636F">
        <w:rPr>
          <w:rFonts w:ascii="Times New Roman" w:eastAsia="Calibri" w:hAnsi="Times New Roman" w:cs="Times New Roman"/>
          <w:color w:val="FFFFFF"/>
          <w:sz w:val="24"/>
          <w:szCs w:val="24"/>
          <w:u w:val="single"/>
        </w:rPr>
        <w:t>m</w:t>
      </w:r>
    </w:p>
    <w:p w:rsidR="0081636F" w:rsidRPr="0081636F" w:rsidRDefault="0081636F" w:rsidP="0081636F">
      <w:pPr>
        <w:spacing w:after="0" w:line="276" w:lineRule="auto"/>
        <w:jc w:val="center"/>
        <w:rPr>
          <w:rFonts w:ascii="Times New Roman" w:eastAsia="Calibri" w:hAnsi="Times New Roman" w:cs="Times New Roman"/>
          <w:sz w:val="18"/>
          <w:szCs w:val="18"/>
        </w:rPr>
      </w:pPr>
      <w:r w:rsidRPr="0081636F">
        <w:rPr>
          <w:rFonts w:ascii="Times New Roman" w:eastAsia="Calibri" w:hAnsi="Times New Roman" w:cs="Times New Roman"/>
          <w:sz w:val="18"/>
          <w:szCs w:val="18"/>
        </w:rPr>
        <w:t xml:space="preserve">                                                                                                                                                                                                                                        (</w:t>
      </w:r>
      <w:r w:rsidRPr="0081636F">
        <w:rPr>
          <w:rFonts w:ascii="Times New Roman" w:eastAsia="Calibri" w:hAnsi="Times New Roman" w:cs="Times New Roman"/>
          <w:i/>
          <w:iCs/>
          <w:sz w:val="18"/>
          <w:szCs w:val="18"/>
        </w:rPr>
        <w:t>mokytojo parašas</w:t>
      </w:r>
      <w:r w:rsidRPr="0081636F">
        <w:rPr>
          <w:rFonts w:ascii="Times New Roman" w:eastAsia="Calibri" w:hAnsi="Times New Roman" w:cs="Times New Roman"/>
          <w:sz w:val="18"/>
          <w:szCs w:val="18"/>
        </w:rPr>
        <w:t>)</w:t>
      </w:r>
    </w:p>
    <w:p w:rsidR="0081636F" w:rsidRPr="0081636F" w:rsidRDefault="0081636F" w:rsidP="0081636F">
      <w:pPr>
        <w:spacing w:after="0" w:line="276" w:lineRule="auto"/>
        <w:rPr>
          <w:rFonts w:ascii="Times New Roman" w:eastAsia="Calibri" w:hAnsi="Times New Roman" w:cs="Times New Roman"/>
          <w:b/>
          <w:color w:val="000000"/>
          <w:sz w:val="24"/>
          <w:szCs w:val="24"/>
        </w:rPr>
      </w:pPr>
      <w:r w:rsidRPr="0081636F">
        <w:rPr>
          <w:rFonts w:ascii="Times New Roman" w:eastAsia="Calibri" w:hAnsi="Times New Roman" w:cs="Times New Roman"/>
          <w:b/>
          <w:color w:val="000000"/>
          <w:sz w:val="24"/>
          <w:szCs w:val="24"/>
        </w:rPr>
        <w:t>Pastabos:</w:t>
      </w:r>
    </w:p>
    <w:p w:rsidR="0081636F" w:rsidRPr="0081636F" w:rsidRDefault="0081636F" w:rsidP="0081636F">
      <w:pPr>
        <w:numPr>
          <w:ilvl w:val="0"/>
          <w:numId w:val="1"/>
        </w:numPr>
        <w:spacing w:after="0" w:line="276" w:lineRule="auto"/>
        <w:rPr>
          <w:rFonts w:ascii="Times New Roman" w:eastAsia="Calibri" w:hAnsi="Times New Roman" w:cs="Times New Roman"/>
          <w:color w:val="000000"/>
          <w:sz w:val="24"/>
          <w:szCs w:val="24"/>
        </w:rPr>
      </w:pPr>
      <w:r w:rsidRPr="0081636F">
        <w:rPr>
          <w:rFonts w:ascii="Times New Roman" w:eastAsia="Calibri" w:hAnsi="Times New Roman" w:cs="Times New Roman"/>
          <w:color w:val="000000"/>
          <w:sz w:val="24"/>
          <w:szCs w:val="24"/>
        </w:rPr>
        <w:t>6 val. atitinka vieną dieną.</w:t>
      </w:r>
    </w:p>
    <w:p w:rsidR="0081636F" w:rsidRPr="0081636F" w:rsidRDefault="0081636F" w:rsidP="0081636F">
      <w:pPr>
        <w:numPr>
          <w:ilvl w:val="0"/>
          <w:numId w:val="1"/>
        </w:numPr>
        <w:spacing w:after="0" w:line="276" w:lineRule="auto"/>
        <w:rPr>
          <w:rFonts w:ascii="Times New Roman" w:eastAsia="Calibri" w:hAnsi="Times New Roman" w:cs="Times New Roman"/>
          <w:color w:val="000000"/>
          <w:sz w:val="24"/>
          <w:szCs w:val="24"/>
        </w:rPr>
      </w:pPr>
      <w:r w:rsidRPr="0081636F">
        <w:rPr>
          <w:rFonts w:ascii="Times New Roman" w:eastAsia="Calibri" w:hAnsi="Times New Roman" w:cs="Times New Roman"/>
          <w:color w:val="000000"/>
          <w:sz w:val="24"/>
          <w:szCs w:val="24"/>
        </w:rPr>
        <w:t>Privalomi pirmosios med. Pagalbos, vaikų turizmo renginių vadovų, priešgaisrinės saugos ir pan. kursai neįtraukiami.</w:t>
      </w:r>
    </w:p>
    <w:p w:rsidR="0081636F" w:rsidRPr="0081636F" w:rsidRDefault="0081636F" w:rsidP="0081636F">
      <w:pPr>
        <w:numPr>
          <w:ilvl w:val="0"/>
          <w:numId w:val="1"/>
        </w:numPr>
        <w:spacing w:after="0" w:line="276" w:lineRule="auto"/>
        <w:rPr>
          <w:rFonts w:ascii="Times New Roman" w:eastAsia="Calibri" w:hAnsi="Times New Roman" w:cs="Times New Roman"/>
          <w:color w:val="000000"/>
          <w:sz w:val="24"/>
          <w:szCs w:val="24"/>
        </w:rPr>
      </w:pPr>
      <w:r w:rsidRPr="0081636F">
        <w:rPr>
          <w:rFonts w:ascii="Times New Roman" w:eastAsia="Calibri" w:hAnsi="Times New Roman" w:cs="Times New Roman"/>
          <w:color w:val="000000"/>
          <w:sz w:val="24"/>
          <w:szCs w:val="24"/>
        </w:rPr>
        <w:t>Ataskaitą pateikti  direktoriui paskutinę kalendorinių metų savaitę.</w:t>
      </w:r>
    </w:p>
    <w:p w:rsidR="0009433E" w:rsidRPr="0009433E" w:rsidRDefault="0009433E" w:rsidP="0009433E">
      <w:pPr>
        <w:rPr>
          <w:rFonts w:ascii="Times New Roman" w:hAnsi="Times New Roman" w:cs="Times New Roman"/>
          <w:sz w:val="24"/>
          <w:szCs w:val="24"/>
        </w:rPr>
      </w:pPr>
    </w:p>
    <w:sectPr w:rsidR="0009433E" w:rsidRPr="0009433E" w:rsidSect="0081636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73D3"/>
    <w:multiLevelType w:val="hybridMultilevel"/>
    <w:tmpl w:val="8E06F34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3E"/>
    <w:rsid w:val="00004592"/>
    <w:rsid w:val="0009433E"/>
    <w:rsid w:val="002A5358"/>
    <w:rsid w:val="003035EE"/>
    <w:rsid w:val="00305543"/>
    <w:rsid w:val="0081636F"/>
    <w:rsid w:val="008B54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163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16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6170</Words>
  <Characters>3517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User</cp:lastModifiedBy>
  <cp:revision>3</cp:revision>
  <dcterms:created xsi:type="dcterms:W3CDTF">2021-12-28T11:56:00Z</dcterms:created>
  <dcterms:modified xsi:type="dcterms:W3CDTF">2022-01-11T07:33:00Z</dcterms:modified>
</cp:coreProperties>
</file>